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19" w:rsidRDefault="00BE4919" w:rsidP="0097140A">
      <w:pPr>
        <w:widowControl/>
        <w:jc w:val="center"/>
        <w:rPr>
          <w:rFonts w:ascii="方正小标宋简体" w:eastAsia="方正小标宋简体" w:hAnsi="微软雅黑" w:cs="宋体"/>
          <w:b/>
          <w:bCs/>
          <w:kern w:val="0"/>
          <w:sz w:val="44"/>
          <w:szCs w:val="44"/>
        </w:rPr>
      </w:pPr>
      <w:r w:rsidRPr="00BE4919">
        <w:rPr>
          <w:rFonts w:ascii="方正小标宋简体" w:eastAsia="方正小标宋简体" w:hAnsi="微软雅黑" w:cs="宋体" w:hint="eastAsia"/>
          <w:b/>
          <w:bCs/>
          <w:kern w:val="0"/>
          <w:sz w:val="44"/>
          <w:szCs w:val="44"/>
        </w:rPr>
        <w:t>202</w:t>
      </w:r>
      <w:r w:rsidR="00384EFF">
        <w:rPr>
          <w:rFonts w:ascii="方正小标宋简体" w:eastAsia="方正小标宋简体" w:hAnsi="微软雅黑" w:cs="宋体"/>
          <w:b/>
          <w:bCs/>
          <w:kern w:val="0"/>
          <w:sz w:val="44"/>
          <w:szCs w:val="44"/>
        </w:rPr>
        <w:t>5</w:t>
      </w:r>
      <w:r w:rsidRPr="00BE4919">
        <w:rPr>
          <w:rFonts w:ascii="方正小标宋简体" w:eastAsia="方正小标宋简体" w:hAnsi="微软雅黑" w:cs="宋体" w:hint="eastAsia"/>
          <w:b/>
          <w:bCs/>
          <w:kern w:val="0"/>
          <w:sz w:val="44"/>
          <w:szCs w:val="44"/>
        </w:rPr>
        <w:t>年安徽城市管理职业学院</w:t>
      </w:r>
      <w:r w:rsidR="00384EFF">
        <w:rPr>
          <w:rFonts w:ascii="方正小标宋简体" w:eastAsia="方正小标宋简体" w:hAnsi="微软雅黑" w:cs="宋体" w:hint="eastAsia"/>
          <w:b/>
          <w:bCs/>
          <w:kern w:val="0"/>
          <w:sz w:val="44"/>
          <w:szCs w:val="44"/>
        </w:rPr>
        <w:t>噢易云机房升级更换服务器</w:t>
      </w:r>
    </w:p>
    <w:p w:rsidR="005F6F31" w:rsidRPr="00BE4919" w:rsidRDefault="00BE4919" w:rsidP="00BE4919">
      <w:pPr>
        <w:widowControl/>
        <w:spacing w:line="315" w:lineRule="atLeast"/>
        <w:jc w:val="center"/>
        <w:rPr>
          <w:rFonts w:ascii="方正小标宋简体" w:eastAsia="方正小标宋简体" w:hAnsi="微软雅黑" w:cs="宋体"/>
          <w:b/>
          <w:bCs/>
          <w:kern w:val="0"/>
          <w:sz w:val="44"/>
          <w:szCs w:val="44"/>
        </w:rPr>
      </w:pPr>
      <w:r w:rsidRPr="00BE4919">
        <w:rPr>
          <w:rFonts w:ascii="方正小标宋简体" w:eastAsia="方正小标宋简体" w:hAnsi="微软雅黑" w:cs="宋体" w:hint="eastAsia"/>
          <w:b/>
          <w:bCs/>
          <w:kern w:val="0"/>
          <w:sz w:val="44"/>
          <w:szCs w:val="44"/>
        </w:rPr>
        <w:t>询价公告</w:t>
      </w:r>
    </w:p>
    <w:p w:rsidR="004525A9" w:rsidRPr="004525A9" w:rsidRDefault="004525A9" w:rsidP="004525A9">
      <w:pPr>
        <w:rPr>
          <w:rFonts w:ascii="仿宋_GB2312" w:eastAsia="仿宋_GB2312" w:hAnsi="仿宋" w:cs="Times New Roman"/>
          <w:kern w:val="0"/>
          <w:sz w:val="34"/>
          <w:szCs w:val="34"/>
        </w:rPr>
      </w:pP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各有关单位：</w:t>
      </w:r>
    </w:p>
    <w:p w:rsidR="004525A9" w:rsidRPr="004525A9" w:rsidRDefault="004525A9" w:rsidP="004525A9">
      <w:pPr>
        <w:ind w:firstLineChars="200" w:firstLine="680"/>
        <w:rPr>
          <w:rFonts w:ascii="仿宋_GB2312" w:eastAsia="仿宋_GB2312" w:hAnsi="仿宋" w:cs="Times New Roman"/>
          <w:kern w:val="0"/>
          <w:sz w:val="34"/>
          <w:szCs w:val="34"/>
        </w:rPr>
      </w:pP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为满足我院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实验</w:t>
      </w: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实训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教学</w:t>
      </w: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需求，特采购一</w:t>
      </w:r>
      <w:r>
        <w:rPr>
          <w:rFonts w:ascii="仿宋_GB2312" w:eastAsia="仿宋_GB2312" w:hAnsi="仿宋" w:cs="Times New Roman" w:hint="eastAsia"/>
          <w:kern w:val="0"/>
          <w:sz w:val="34"/>
          <w:szCs w:val="34"/>
        </w:rPr>
        <w:t>台服务器</w:t>
      </w: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。预算、需求、报价文件、时间要求等参见附件。要求投标人具有独立法人资格，具备相应的经营资质和一定经营规模，拥有良好的信誉、经营业绩和售后服务，质量保证，报价货物是全新的、完全符合采购设备规定的质量、规格和技术要求。</w:t>
      </w:r>
    </w:p>
    <w:p w:rsidR="004525A9" w:rsidRPr="004525A9" w:rsidRDefault="004525A9" w:rsidP="004525A9">
      <w:pPr>
        <w:jc w:val="right"/>
        <w:rPr>
          <w:rFonts w:ascii="仿宋_GB2312" w:eastAsia="仿宋_GB2312" w:hAnsi="仿宋" w:cs="Times New Roman"/>
          <w:kern w:val="0"/>
          <w:sz w:val="34"/>
          <w:szCs w:val="34"/>
        </w:rPr>
      </w:pPr>
      <w:r>
        <w:rPr>
          <w:rFonts w:ascii="仿宋_GB2312" w:eastAsia="仿宋_GB2312" w:hAnsi="仿宋" w:cs="Times New Roman" w:hint="eastAsia"/>
          <w:kern w:val="0"/>
          <w:sz w:val="34"/>
          <w:szCs w:val="34"/>
        </w:rPr>
        <w:t>信息技术学院</w:t>
      </w:r>
    </w:p>
    <w:p w:rsidR="004525A9" w:rsidRPr="004525A9" w:rsidRDefault="004525A9" w:rsidP="004525A9">
      <w:pPr>
        <w:jc w:val="right"/>
        <w:rPr>
          <w:rFonts w:ascii="仿宋_GB2312" w:eastAsia="仿宋_GB2312" w:hAnsi="仿宋" w:cs="Times New Roman"/>
          <w:kern w:val="0"/>
          <w:sz w:val="34"/>
          <w:szCs w:val="34"/>
        </w:rPr>
      </w:pP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202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5</w:t>
      </w: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年</w:t>
      </w:r>
      <w:r>
        <w:rPr>
          <w:rFonts w:ascii="仿宋_GB2312" w:eastAsia="仿宋_GB2312" w:hAnsi="仿宋" w:cs="Times New Roman"/>
          <w:kern w:val="0"/>
          <w:sz w:val="34"/>
          <w:szCs w:val="34"/>
        </w:rPr>
        <w:t>5</w:t>
      </w: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月</w:t>
      </w:r>
      <w:r>
        <w:rPr>
          <w:rFonts w:ascii="仿宋_GB2312" w:eastAsia="仿宋_GB2312" w:hAnsi="仿宋" w:cs="Times New Roman"/>
          <w:kern w:val="0"/>
          <w:sz w:val="34"/>
          <w:szCs w:val="34"/>
        </w:rPr>
        <w:t>15</w:t>
      </w: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日</w:t>
      </w:r>
    </w:p>
    <w:p w:rsidR="005F6F31" w:rsidRPr="004525A9" w:rsidRDefault="005F6F31" w:rsidP="005F6F31">
      <w:pPr>
        <w:widowControl/>
        <w:spacing w:line="315" w:lineRule="atLeast"/>
        <w:ind w:firstLineChars="150" w:firstLine="510"/>
        <w:rPr>
          <w:rFonts w:ascii="仿宋_GB2312" w:eastAsia="仿宋_GB2312" w:hAnsi="仿宋" w:cs="Times New Roman"/>
          <w:kern w:val="0"/>
          <w:sz w:val="34"/>
          <w:szCs w:val="34"/>
        </w:rPr>
      </w:pPr>
    </w:p>
    <w:p w:rsidR="00E3189D" w:rsidRPr="00873D25" w:rsidRDefault="00E3189D" w:rsidP="00E3189D">
      <w:pPr>
        <w:widowControl/>
        <w:spacing w:line="315" w:lineRule="atLeast"/>
        <w:rPr>
          <w:rFonts w:ascii="黑体" w:eastAsia="黑体" w:hAnsi="黑体" w:cs="Times New Roman"/>
          <w:kern w:val="0"/>
          <w:sz w:val="44"/>
          <w:szCs w:val="44"/>
        </w:rPr>
      </w:pPr>
      <w:r w:rsidRPr="00873D25">
        <w:rPr>
          <w:rFonts w:ascii="黑体" w:eastAsia="黑体" w:hAnsi="黑体" w:cs="Times New Roman" w:hint="eastAsia"/>
          <w:b/>
          <w:bCs/>
          <w:kern w:val="0"/>
          <w:sz w:val="44"/>
          <w:szCs w:val="44"/>
        </w:rPr>
        <w:t>一、采购需求</w:t>
      </w:r>
    </w:p>
    <w:p w:rsidR="00E3189D" w:rsidRPr="00873D25" w:rsidRDefault="00384EFF" w:rsidP="00E3189D">
      <w:pPr>
        <w:widowControl/>
        <w:spacing w:line="315" w:lineRule="atLeast"/>
        <w:ind w:firstLine="480"/>
        <w:rPr>
          <w:rFonts w:ascii="仿宋_GB2312" w:eastAsia="仿宋_GB2312" w:hAnsi="仿宋" w:cs="Times New Roman"/>
          <w:kern w:val="0"/>
          <w:sz w:val="34"/>
          <w:szCs w:val="34"/>
        </w:rPr>
      </w:pPr>
      <w:r>
        <w:rPr>
          <w:rFonts w:ascii="仿宋_GB2312" w:eastAsia="仿宋_GB2312" w:hAnsi="仿宋" w:cs="Times New Roman" w:hint="eastAsia"/>
          <w:kern w:val="0"/>
          <w:sz w:val="34"/>
          <w:szCs w:val="34"/>
        </w:rPr>
        <w:t>货物配置</w:t>
      </w:r>
      <w:r w:rsidR="00E3189D"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>清单如下，该项目预算</w:t>
      </w:r>
      <w:r w:rsidR="00570224">
        <w:rPr>
          <w:rFonts w:ascii="仿宋_GB2312" w:eastAsia="仿宋_GB2312" w:hAnsi="仿宋" w:cs="Times New Roman"/>
          <w:kern w:val="0"/>
          <w:sz w:val="34"/>
          <w:szCs w:val="34"/>
        </w:rPr>
        <w:t>4.</w:t>
      </w:r>
      <w:r>
        <w:rPr>
          <w:rFonts w:ascii="仿宋_GB2312" w:eastAsia="仿宋_GB2312" w:hAnsi="仿宋" w:cs="Times New Roman"/>
          <w:kern w:val="0"/>
          <w:sz w:val="34"/>
          <w:szCs w:val="34"/>
        </w:rPr>
        <w:t>5</w:t>
      </w:r>
      <w:r w:rsidR="00E3189D"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>万元，内容如有疑问请联系项目联系人确认，供应商报价不得高于预算价。</w:t>
      </w:r>
    </w:p>
    <w:tbl>
      <w:tblPr>
        <w:tblW w:w="20804" w:type="dxa"/>
        <w:tblLook w:val="04A0" w:firstRow="1" w:lastRow="0" w:firstColumn="1" w:lastColumn="0" w:noHBand="0" w:noVBand="1"/>
      </w:tblPr>
      <w:tblGrid>
        <w:gridCol w:w="959"/>
        <w:gridCol w:w="1701"/>
        <w:gridCol w:w="10206"/>
        <w:gridCol w:w="1559"/>
        <w:gridCol w:w="1843"/>
        <w:gridCol w:w="4536"/>
      </w:tblGrid>
      <w:tr w:rsidR="00E3189D" w:rsidRPr="00BB3316" w:rsidTr="00384EFF">
        <w:trPr>
          <w:trHeight w:val="57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89D" w:rsidRPr="008F1F95" w:rsidRDefault="00E3189D" w:rsidP="005F391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8F1F9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4"/>
                <w:szCs w:val="3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89D" w:rsidRPr="008F1F95" w:rsidRDefault="00E3189D" w:rsidP="005F391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8F1F9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4"/>
                <w:szCs w:val="34"/>
              </w:rPr>
              <w:t>货物名称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89D" w:rsidRPr="008F1F95" w:rsidRDefault="00E3189D" w:rsidP="005F391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8F1F9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4"/>
                <w:szCs w:val="34"/>
              </w:rPr>
              <w:t>技术参数及要求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89D" w:rsidRPr="008F1F95" w:rsidRDefault="00E3189D" w:rsidP="005F391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8F1F9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4"/>
                <w:szCs w:val="34"/>
              </w:rPr>
              <w:t>单位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89D" w:rsidRPr="008F1F95" w:rsidRDefault="00E3189D" w:rsidP="005F391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8F1F9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4"/>
                <w:szCs w:val="34"/>
              </w:rPr>
              <w:t>数量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9D" w:rsidRPr="008F1F95" w:rsidRDefault="00E3189D" w:rsidP="005F3912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8F1F95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4"/>
                <w:szCs w:val="34"/>
              </w:rPr>
              <w:t>备注</w:t>
            </w:r>
          </w:p>
        </w:tc>
      </w:tr>
      <w:tr w:rsidR="00E3189D" w:rsidRPr="00BB3316" w:rsidTr="00384EFF">
        <w:trPr>
          <w:trHeight w:val="29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9D" w:rsidRPr="008F1F95" w:rsidRDefault="00E3189D" w:rsidP="005F391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4"/>
                <w:szCs w:val="34"/>
              </w:rPr>
            </w:pPr>
            <w:r w:rsidRPr="008F1F95">
              <w:rPr>
                <w:rFonts w:ascii="仿宋_GB2312" w:eastAsia="仿宋_GB2312" w:hAnsi="仿宋" w:cs="宋体" w:hint="eastAsia"/>
                <w:color w:val="000000"/>
                <w:kern w:val="0"/>
                <w:sz w:val="34"/>
                <w:szCs w:val="3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89D" w:rsidRPr="008F1F95" w:rsidRDefault="00384EFF" w:rsidP="005F39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计算节点云服务器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8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6"/>
              <w:gridCol w:w="1176"/>
              <w:gridCol w:w="1384"/>
              <w:gridCol w:w="1402"/>
              <w:gridCol w:w="3897"/>
            </w:tblGrid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指标分类</w:t>
                  </w:r>
                </w:p>
              </w:tc>
              <w:tc>
                <w:tcPr>
                  <w:tcW w:w="1384" w:type="dxa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ind w:leftChars="-42" w:left="-88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二级指标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指标要求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*CPU规格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*CPU信息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9E172E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配置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≥2颗处理器，单核物理核心数≥2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，单核主频≥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2.1GH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z，单核末级缓存容量≥3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5.75MB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，支持超线程，单核线程数≥5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，</w:t>
                  </w:r>
                </w:p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投标人给出CPU信息，包含CPU型号、物理核心数、主频、末级缓存容量、线程数、热设计功耗及支持内存的最高速率、通道数和位宽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 w:val="restart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*主板规格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*主板支持的CPU和内存情况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投标人给出主板支持的CPU和内存的型号数量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*主板内存槽数量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*主板存储接口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支持SATA、SAS、SSD、M.2、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NVME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等存储接口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*PCIe插槽接口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个PCI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-E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插槽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 w:val="restart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*内存规格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*内存数量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*内存规格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≥DDR4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3200MHz ECC内存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 w:val="restart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*存储规格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*硬磁盘实配容量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</w:t>
                  </w:r>
                  <w:r w:rsidRPr="000B055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3*8T SATA+3*960GB SSD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*硬盘实配数量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块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Pr="00086619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086619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功能要求</w:t>
                  </w:r>
                </w:p>
              </w:tc>
              <w:tc>
                <w:tcPr>
                  <w:tcW w:w="1384" w:type="dxa"/>
                  <w:vAlign w:val="center"/>
                </w:tcPr>
                <w:p w:rsidR="001B4A9C" w:rsidRPr="00086619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086619"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*</w:t>
                  </w:r>
                  <w:r w:rsidRPr="00086619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RAID卡功</w:t>
                  </w:r>
                </w:p>
                <w:p w:rsidR="001B4A9C" w:rsidRPr="00086619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086619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能（若支持RAID卡）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Pr="00086619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086619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*RAID 卡RAID 级别支持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Pr="00086619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086619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H460 B1 RAID卡 12GB 2端口 PCIe 阵列卡 （支持8个SAS口，支持RAID级别： 0/1/5/10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*网络规格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*网口速率和数量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A27E3B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不少于</w:t>
                  </w:r>
                  <w:r w:rsidR="00A27E3B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个</w:t>
                  </w:r>
                  <w:r w:rsidR="00A27E3B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千兆网口（网口速率不少于1GE）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，</w:t>
                  </w:r>
                  <w:r w:rsidR="00A27E3B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不少于2个万兆网口（包含一对光模块，网口速率不少于1</w:t>
                  </w:r>
                  <w:r w:rsidR="00A27E3B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0GE</w:t>
                  </w:r>
                  <w:r w:rsidR="00A27E3B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 w:val="restart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*外部接口规格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*显示接口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≥1个后置V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GA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（可选前置 VGA）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*USB接口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Pr="001D3A77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前置≥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*USB3.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接口，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后置≥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*USB3.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接口，内置≥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*USB3.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接口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 w:val="restart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*电源规格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*电源模块数量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≥1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Merge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*电源功率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≥2个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00W冗余电源；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产品规格</w:t>
                  </w:r>
                </w:p>
              </w:tc>
              <w:tc>
                <w:tcPr>
                  <w:tcW w:w="1384" w:type="dxa"/>
                  <w:vAlign w:val="center"/>
                </w:tcPr>
                <w:p w:rsidR="001B4A9C" w:rsidRDefault="001B4A9C" w:rsidP="001B4A9C">
                  <w:pPr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*整机规格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*CPU 个数  与机柜高  度单位(U) 比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配置2颗CPU；</w:t>
                  </w:r>
                </w:p>
                <w:p w:rsidR="001B4A9C" w:rsidRDefault="001B4A9C" w:rsidP="001B4A9C">
                  <w:pPr>
                    <w:spacing w:line="360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2U机架式服务器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性能要求</w:t>
                  </w:r>
                </w:p>
              </w:tc>
              <w:tc>
                <w:tcPr>
                  <w:tcW w:w="1384" w:type="dxa"/>
                  <w:vMerge w:val="restart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*CPU性能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*CPU主频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.1GHz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性能要求</w:t>
                  </w:r>
                </w:p>
              </w:tc>
              <w:tc>
                <w:tcPr>
                  <w:tcW w:w="1384" w:type="dxa"/>
                  <w:vMerge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*单CPU核数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性能要求</w:t>
                  </w:r>
                </w:p>
              </w:tc>
              <w:tc>
                <w:tcPr>
                  <w:tcW w:w="1384" w:type="dxa"/>
                  <w:vMerge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*单CPU末级缓存容量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35.75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MB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性能要求</w:t>
                  </w:r>
                </w:p>
              </w:tc>
              <w:tc>
                <w:tcPr>
                  <w:tcW w:w="1384" w:type="dxa"/>
                  <w:vMerge w:val="restart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*内存性能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*单内存模块容量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≥32GB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性能要求</w:t>
                  </w:r>
                </w:p>
              </w:tc>
              <w:tc>
                <w:tcPr>
                  <w:tcW w:w="1384" w:type="dxa"/>
                  <w:vMerge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*内存速率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≥3200MHz ECC内存</w:t>
                  </w:r>
                </w:p>
              </w:tc>
            </w:tr>
            <w:tr w:rsidR="001B4A9C" w:rsidTr="00A568A5"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服务要求</w:t>
                  </w:r>
                </w:p>
              </w:tc>
              <w:tc>
                <w:tcPr>
                  <w:tcW w:w="1384" w:type="dxa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*服务响应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*服务响应</w:t>
                  </w:r>
                </w:p>
              </w:tc>
              <w:tc>
                <w:tcPr>
                  <w:tcW w:w="0" w:type="auto"/>
                  <w:vAlign w:val="center"/>
                </w:tcPr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a) 提供电话、电子邮件、远程连接等多种形式服务；</w:t>
                  </w:r>
                </w:p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b) 提供同城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h、异地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h 技术响应服务，2 个工作日解决问题，对于未能解决的问题和故障应提供可行的升级方案，并提供周转设备；</w:t>
                  </w:r>
                </w:p>
                <w:p w:rsidR="001B4A9C" w:rsidRDefault="001B4A9C" w:rsidP="001B4A9C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c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) 服务周期内提供产品的维修、换件和升级服务。</w:t>
                  </w:r>
                </w:p>
              </w:tc>
            </w:tr>
          </w:tbl>
          <w:p w:rsidR="001B4A9C" w:rsidRDefault="001B4A9C" w:rsidP="001B4A9C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备注：</w:t>
            </w:r>
          </w:p>
          <w:p w:rsidR="001B4A9C" w:rsidRDefault="001B4A9C" w:rsidP="001B4A9C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（1）上述“*”项参数，必须响应，否则将导致投标无效。</w:t>
            </w:r>
          </w:p>
          <w:p w:rsidR="001B4A9C" w:rsidRPr="009B2A96" w:rsidRDefault="001B4A9C" w:rsidP="001B4A9C">
            <w:pPr>
              <w:widowControl/>
              <w:spacing w:line="360" w:lineRule="auto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（2）针对《财政部工业和信息化部关于印发&lt;服务器政府采购需求标准（2023 年版）&gt;的通知》（以下简称《需求标准》）中本项目采购需求的技术参数及要求中未涉及的加“*”指标，</w:t>
            </w:r>
            <w:r w:rsidRPr="009B2A9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项目履</w:t>
            </w:r>
            <w:r w:rsidRPr="009B2A9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约及验收过程中按照《需求标准》相关要求执行，如有不符按中标人违约处理，由此引起的一切责任及后果由中标人承担。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报价</w:t>
            </w:r>
            <w:r w:rsidRPr="009B2A9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人须在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报价文件中提供承诺函，</w:t>
            </w:r>
            <w:r w:rsidRPr="009B2A9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未提供或承诺内容不符合要求的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报价</w:t>
            </w:r>
            <w:r w:rsidRPr="009B2A9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无效。</w:t>
            </w:r>
          </w:p>
          <w:p w:rsidR="00570224" w:rsidRPr="001B4A9C" w:rsidRDefault="00570224" w:rsidP="00384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89D" w:rsidRPr="008F1F95" w:rsidRDefault="00842A52" w:rsidP="005F39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lastRenderedPageBreak/>
              <w:t>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89D" w:rsidRPr="008F1F95" w:rsidRDefault="00384EFF" w:rsidP="001E7A09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Calibri" w:cs="Calibri"/>
                <w:color w:val="000000"/>
                <w:kern w:val="0"/>
                <w:sz w:val="34"/>
                <w:szCs w:val="3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EFF" w:rsidRPr="00384EFF" w:rsidRDefault="00384EFF" w:rsidP="00384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配置考虑：1、平均单台服务器支撑</w:t>
            </w:r>
            <w:r w:rsidR="00BA1E1E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不少于</w:t>
            </w: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48个虚拟桌面计算资源（VDI）</w:t>
            </w:r>
          </w:p>
          <w:p w:rsidR="00E3189D" w:rsidRPr="008F1F95" w:rsidRDefault="00384EFF" w:rsidP="00384EF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2、平均每个虚拟桌面可分配（2vCPU、4GB</w:t>
            </w:r>
            <w:r w:rsidR="00BA1E1E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内存）资源，后期资源</w:t>
            </w: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可灵活调整。</w:t>
            </w:r>
          </w:p>
        </w:tc>
      </w:tr>
      <w:tr w:rsidR="00384EFF" w:rsidRPr="00BB3316" w:rsidTr="00384EFF">
        <w:trPr>
          <w:trHeight w:val="29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FF" w:rsidRPr="008F1F95" w:rsidRDefault="00384EFF" w:rsidP="005F391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4"/>
                <w:szCs w:val="3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EFF" w:rsidRPr="00384EFF" w:rsidRDefault="00384EFF" w:rsidP="005F39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数据迁移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EFF" w:rsidRPr="00384EFF" w:rsidRDefault="00384EFF" w:rsidP="00384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1.存储迁移：将数据从原服务器迁移到新服务器中。</w:t>
            </w:r>
          </w:p>
          <w:p w:rsidR="00384EFF" w:rsidRPr="00384EFF" w:rsidRDefault="00384EFF" w:rsidP="00384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2.数据库迁移：将数据从原数据库系统迁移到新数据库。</w:t>
            </w:r>
          </w:p>
          <w:p w:rsidR="00384EFF" w:rsidRPr="00384EFF" w:rsidRDefault="00384EFF" w:rsidP="00384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3.应用迁移：将数据从原应用迁移到新系统。</w:t>
            </w:r>
          </w:p>
          <w:p w:rsidR="00384EFF" w:rsidRPr="00384EFF" w:rsidRDefault="00384EFF" w:rsidP="00384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4.数据一致性：确保迁移过程中数据不丢失、不损坏。</w:t>
            </w:r>
          </w:p>
          <w:p w:rsidR="00384EFF" w:rsidRPr="00384EFF" w:rsidRDefault="00384EFF" w:rsidP="00384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5.兼容性问题：源数据和目标系统存在格式、结构或编码差异，需解决兼容性问题。</w:t>
            </w:r>
          </w:p>
          <w:p w:rsidR="00384EFF" w:rsidRPr="00384EFF" w:rsidRDefault="00384EFF" w:rsidP="00384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6.迁移速度：大数据量迁移可能耗时较长，优化迁移策略，保证不影响客户使用。</w:t>
            </w:r>
          </w:p>
          <w:p w:rsidR="00384EFF" w:rsidRPr="00384EFF" w:rsidRDefault="00384EFF" w:rsidP="00384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7.安全性：迁移过程中需确保数据安全，防止泄露或篡改。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EFF" w:rsidRDefault="00384EFF" w:rsidP="005F39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EFF" w:rsidRDefault="00150E73" w:rsidP="001E7A09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="00384EFF">
              <w:rPr>
                <w:rFonts w:ascii="仿宋_GB2312" w:eastAsia="仿宋_GB2312" w:hAnsi="Calibri" w:cs="Calibri" w:hint="eastAsia"/>
                <w:color w:val="000000"/>
                <w:kern w:val="0"/>
                <w:sz w:val="34"/>
                <w:szCs w:val="34"/>
              </w:rPr>
              <w:t>1</w:t>
            </w:r>
            <w:r w:rsidR="00384EFF">
              <w:rPr>
                <w:rFonts w:ascii="仿宋_GB2312" w:eastAsia="仿宋_GB2312" w:hAnsi="Calibri" w:cs="Calibri"/>
                <w:color w:val="000000"/>
                <w:kern w:val="0"/>
                <w:sz w:val="34"/>
                <w:szCs w:val="34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FF" w:rsidRPr="00384EFF" w:rsidRDefault="00384EFF" w:rsidP="00384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与现有设备、资源兼容</w:t>
            </w:r>
          </w:p>
        </w:tc>
      </w:tr>
    </w:tbl>
    <w:p w:rsidR="00E3189D" w:rsidRDefault="00E3189D" w:rsidP="00E3189D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5F6F31" w:rsidRDefault="005F6F31" w:rsidP="00E3189D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E3189D" w:rsidRPr="00873D25" w:rsidRDefault="00E3189D" w:rsidP="00E3189D">
      <w:pPr>
        <w:widowControl/>
        <w:spacing w:line="315" w:lineRule="atLeast"/>
        <w:rPr>
          <w:rFonts w:ascii="黑体" w:eastAsia="黑体" w:hAnsi="黑体" w:cs="Times New Roman"/>
          <w:kern w:val="0"/>
          <w:sz w:val="44"/>
          <w:szCs w:val="44"/>
        </w:rPr>
      </w:pPr>
      <w:r w:rsidRPr="00873D25">
        <w:rPr>
          <w:rFonts w:ascii="黑体" w:eastAsia="黑体" w:hAnsi="黑体" w:cs="Times New Roman" w:hint="eastAsia"/>
          <w:b/>
          <w:bCs/>
          <w:kern w:val="0"/>
          <w:sz w:val="44"/>
          <w:szCs w:val="44"/>
        </w:rPr>
        <w:t>二、综合说明</w:t>
      </w:r>
    </w:p>
    <w:p w:rsidR="00E3189D" w:rsidRPr="00873D25" w:rsidRDefault="00E3189D" w:rsidP="00E3189D">
      <w:pPr>
        <w:widowControl/>
        <w:spacing w:line="315" w:lineRule="atLeast"/>
        <w:ind w:firstLine="480"/>
        <w:rPr>
          <w:rFonts w:ascii="仿宋_GB2312" w:eastAsia="仿宋_GB2312" w:hAnsi="仿宋" w:cs="Times New Roman"/>
          <w:kern w:val="0"/>
          <w:sz w:val="34"/>
          <w:szCs w:val="34"/>
        </w:rPr>
      </w:pPr>
      <w:r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>1.</w:t>
      </w:r>
      <w:r w:rsidR="0000319B" w:rsidRPr="0000319B">
        <w:rPr>
          <w:rFonts w:ascii="仿宋_GB2312" w:eastAsia="仿宋_GB2312" w:hAnsi="仿宋" w:cs="Times New Roman" w:hint="eastAsia"/>
          <w:kern w:val="0"/>
          <w:sz w:val="34"/>
          <w:szCs w:val="34"/>
        </w:rPr>
        <w:t>报价包含税金、货物及设备运输安装调试</w:t>
      </w:r>
      <w:r w:rsidR="00BE4919">
        <w:rPr>
          <w:rFonts w:ascii="仿宋_GB2312" w:eastAsia="仿宋_GB2312" w:hAnsi="仿宋" w:cs="Times New Roman" w:hint="eastAsia"/>
          <w:kern w:val="0"/>
          <w:sz w:val="34"/>
          <w:szCs w:val="34"/>
        </w:rPr>
        <w:t>、系统安装</w:t>
      </w:r>
      <w:r w:rsidR="0000319B" w:rsidRPr="0000319B">
        <w:rPr>
          <w:rFonts w:ascii="仿宋_GB2312" w:eastAsia="仿宋_GB2312" w:hAnsi="仿宋" w:cs="Times New Roman" w:hint="eastAsia"/>
          <w:kern w:val="0"/>
          <w:sz w:val="34"/>
          <w:szCs w:val="34"/>
        </w:rPr>
        <w:t>等一切费用</w:t>
      </w:r>
      <w:r w:rsidR="0000319B">
        <w:rPr>
          <w:rFonts w:ascii="仿宋_GB2312" w:eastAsia="仿宋_GB2312" w:hAnsi="仿宋" w:cs="Times New Roman" w:hint="eastAsia"/>
          <w:kern w:val="0"/>
          <w:sz w:val="34"/>
          <w:szCs w:val="34"/>
        </w:rPr>
        <w:t>。</w:t>
      </w:r>
    </w:p>
    <w:p w:rsidR="004525A9" w:rsidRDefault="004525A9" w:rsidP="00E3189D">
      <w:pPr>
        <w:widowControl/>
        <w:spacing w:line="315" w:lineRule="atLeast"/>
        <w:ind w:firstLine="480"/>
        <w:rPr>
          <w:rFonts w:ascii="仿宋_GB2312" w:eastAsia="仿宋_GB2312" w:hAnsi="仿宋" w:cs="Times New Roman"/>
          <w:kern w:val="0"/>
          <w:sz w:val="34"/>
          <w:szCs w:val="34"/>
        </w:rPr>
      </w:pP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2.供应商必须对所有参与人员安全培训，确保过程安全、有序；并对整个项目质量及安全负责。</w:t>
      </w:r>
    </w:p>
    <w:p w:rsidR="004525A9" w:rsidRDefault="004525A9" w:rsidP="004525A9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_GB2312" w:eastAsia="仿宋_GB2312" w:hAnsi="仿宋" w:cs="Times New Roman"/>
          <w:kern w:val="0"/>
          <w:sz w:val="34"/>
          <w:szCs w:val="34"/>
        </w:rPr>
        <w:t>3</w:t>
      </w:r>
      <w:r w:rsidR="00E3189D"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>.</w:t>
      </w:r>
      <w:r w:rsidRPr="004525A9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" w:cs="Times New Roman" w:hint="eastAsia"/>
          <w:kern w:val="0"/>
          <w:sz w:val="34"/>
          <w:szCs w:val="34"/>
        </w:rPr>
        <w:t>请各供应商于</w:t>
      </w:r>
      <w:r>
        <w:rPr>
          <w:rFonts w:ascii="仿宋_GB2312" w:eastAsia="仿宋_GB2312" w:hAnsi="仿宋" w:cs="Times New Roman"/>
          <w:kern w:val="0"/>
          <w:sz w:val="34"/>
          <w:szCs w:val="34"/>
        </w:rPr>
        <w:t>5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月</w:t>
      </w:r>
      <w:r>
        <w:rPr>
          <w:rFonts w:ascii="仿宋_GB2312" w:eastAsia="仿宋_GB2312" w:hAnsi="仿宋" w:cs="Times New Roman"/>
          <w:kern w:val="0"/>
          <w:sz w:val="34"/>
          <w:szCs w:val="34"/>
        </w:rPr>
        <w:t>22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日</w:t>
      </w:r>
      <w:r>
        <w:rPr>
          <w:rFonts w:ascii="仿宋_GB2312" w:eastAsia="仿宋_GB2312" w:hAnsi="仿宋" w:cs="Times New Roman"/>
          <w:kern w:val="0"/>
          <w:sz w:val="34"/>
          <w:szCs w:val="34"/>
        </w:rPr>
        <w:t>24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点前将报价单(盖章)，电子材料发送到邮箱：</w:t>
      </w:r>
      <w:hyperlink r:id="rId6" w:history="1">
        <w:r w:rsidRPr="004525A9">
          <w:rPr>
            <w:rFonts w:ascii="仿宋_GB2312" w:eastAsia="仿宋_GB2312" w:hAnsi="仿宋" w:cs="Times New Roman"/>
            <w:kern w:val="0"/>
            <w:sz w:val="34"/>
            <w:szCs w:val="34"/>
          </w:rPr>
          <w:t>sxzx</w:t>
        </w:r>
        <w:r w:rsidRPr="004525A9">
          <w:rPr>
            <w:rFonts w:ascii="仿宋_GB2312" w:eastAsia="仿宋_GB2312" w:hAnsi="仿宋" w:cs="Times New Roman" w:hint="eastAsia"/>
            <w:kern w:val="0"/>
            <w:sz w:val="34"/>
            <w:szCs w:val="34"/>
          </w:rPr>
          <w:t>@cua.edu.cn</w:t>
        </w:r>
      </w:hyperlink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和</w:t>
      </w:r>
      <w:r>
        <w:rPr>
          <w:rFonts w:ascii="仿宋_GB2312" w:eastAsia="仿宋_GB2312" w:hAnsi="宋体" w:cs="宋体"/>
          <w:color w:val="000000"/>
          <w:kern w:val="0"/>
          <w:sz w:val="34"/>
          <w:szCs w:val="34"/>
        </w:rPr>
        <w:t>820633835@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q</w:t>
      </w:r>
      <w:r>
        <w:rPr>
          <w:rFonts w:ascii="仿宋_GB2312" w:eastAsia="仿宋_GB2312" w:hAnsi="宋体" w:cs="宋体"/>
          <w:color w:val="000000"/>
          <w:kern w:val="0"/>
          <w:sz w:val="34"/>
          <w:szCs w:val="34"/>
        </w:rPr>
        <w:t>q.com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，邮件主题需注明“</w:t>
      </w:r>
      <w:r>
        <w:rPr>
          <w:rFonts w:ascii="仿宋_GB2312" w:eastAsia="仿宋_GB2312" w:hAnsi="仿宋" w:cs="Times New Roman" w:hint="eastAsia"/>
          <w:kern w:val="0"/>
          <w:sz w:val="34"/>
          <w:szCs w:val="34"/>
        </w:rPr>
        <w:t>项目名称</w:t>
      </w: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-[供应商名称]</w:t>
      </w: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”</w:t>
      </w:r>
      <w:r w:rsidRPr="004525A9">
        <w:rPr>
          <w:rFonts w:ascii="仿宋_GB2312" w:eastAsia="仿宋_GB2312" w:hAnsi="仿宋" w:cs="Times New Roman"/>
          <w:kern w:val="0"/>
          <w:sz w:val="34"/>
          <w:szCs w:val="34"/>
        </w:rPr>
        <w:t>。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为保障公平公正，要求对报价文件加密，供应商</w:t>
      </w:r>
      <w:r>
        <w:rPr>
          <w:rFonts w:ascii="仿宋_GB2312" w:eastAsia="仿宋_GB2312" w:hAnsi="仿宋" w:cs="Times New Roman" w:hint="eastAsia"/>
          <w:kern w:val="0"/>
          <w:sz w:val="34"/>
          <w:szCs w:val="34"/>
        </w:rPr>
        <w:t>于</w:t>
      </w:r>
      <w:r>
        <w:rPr>
          <w:rFonts w:ascii="仿宋_GB2312" w:eastAsia="仿宋_GB2312" w:hAnsi="仿宋" w:cs="Times New Roman"/>
          <w:kern w:val="0"/>
          <w:sz w:val="34"/>
          <w:szCs w:val="34"/>
        </w:rPr>
        <w:t>5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月</w:t>
      </w:r>
      <w:r>
        <w:rPr>
          <w:rFonts w:ascii="仿宋_GB2312" w:eastAsia="仿宋_GB2312" w:hAnsi="仿宋" w:cs="Times New Roman" w:hint="eastAsia"/>
          <w:kern w:val="0"/>
          <w:sz w:val="34"/>
          <w:szCs w:val="34"/>
        </w:rPr>
        <w:t>2</w:t>
      </w:r>
      <w:r>
        <w:rPr>
          <w:rFonts w:ascii="仿宋_GB2312" w:eastAsia="仿宋_GB2312" w:hAnsi="仿宋" w:cs="Times New Roman"/>
          <w:kern w:val="0"/>
          <w:sz w:val="34"/>
          <w:szCs w:val="34"/>
        </w:rPr>
        <w:t>2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日</w:t>
      </w:r>
      <w:r>
        <w:rPr>
          <w:rFonts w:ascii="仿宋_GB2312" w:eastAsia="仿宋_GB2312" w:hAnsi="仿宋" w:cs="Times New Roman" w:hint="eastAsia"/>
          <w:kern w:val="0"/>
          <w:sz w:val="34"/>
          <w:szCs w:val="34"/>
        </w:rPr>
        <w:t>1</w:t>
      </w:r>
      <w:r>
        <w:rPr>
          <w:rFonts w:ascii="仿宋_GB2312" w:eastAsia="仿宋_GB2312" w:hAnsi="仿宋" w:cs="Times New Roman"/>
          <w:kern w:val="0"/>
          <w:sz w:val="34"/>
          <w:szCs w:val="34"/>
        </w:rPr>
        <w:t>2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点前将解密密码发到邮箱</w:t>
      </w:r>
      <w:hyperlink r:id="rId7" w:history="1">
        <w:r w:rsidRPr="004525A9">
          <w:rPr>
            <w:rFonts w:ascii="仿宋_GB2312" w:eastAsia="仿宋_GB2312" w:hAnsi="仿宋" w:cs="Times New Roman"/>
            <w:kern w:val="0"/>
            <w:sz w:val="34"/>
            <w:szCs w:val="34"/>
          </w:rPr>
          <w:t>sxzx</w:t>
        </w:r>
        <w:r w:rsidRPr="004525A9">
          <w:rPr>
            <w:rFonts w:ascii="仿宋_GB2312" w:eastAsia="仿宋_GB2312" w:hAnsi="仿宋" w:cs="Times New Roman" w:hint="eastAsia"/>
            <w:kern w:val="0"/>
            <w:sz w:val="34"/>
            <w:szCs w:val="34"/>
          </w:rPr>
          <w:t>@cua.edu.cn</w:t>
        </w:r>
      </w:hyperlink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和</w:t>
      </w:r>
      <w:r>
        <w:rPr>
          <w:rFonts w:ascii="仿宋_GB2312" w:eastAsia="仿宋_GB2312" w:hAnsi="宋体" w:cs="宋体"/>
          <w:color w:val="000000"/>
          <w:kern w:val="0"/>
          <w:sz w:val="34"/>
          <w:szCs w:val="34"/>
        </w:rPr>
        <w:t>820633835@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q</w:t>
      </w:r>
      <w:r>
        <w:rPr>
          <w:rFonts w:ascii="仿宋_GB2312" w:eastAsia="仿宋_GB2312" w:hAnsi="宋体" w:cs="宋体"/>
          <w:color w:val="000000"/>
          <w:kern w:val="0"/>
          <w:sz w:val="34"/>
          <w:szCs w:val="34"/>
        </w:rPr>
        <w:t>q.com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，</w:t>
      </w:r>
      <w:r w:rsidRP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逾期视为自动放弃，校方统一时间解密。</w:t>
      </w:r>
    </w:p>
    <w:p w:rsidR="004525A9" w:rsidRDefault="004525A9" w:rsidP="004525A9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</w:p>
    <w:p w:rsidR="001B4A9C" w:rsidRPr="004525A9" w:rsidRDefault="000E30C0" w:rsidP="004525A9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_GB2312" w:eastAsia="仿宋_GB2312" w:hAnsi="仿宋" w:cs="Times New Roman"/>
          <w:kern w:val="0"/>
          <w:sz w:val="34"/>
          <w:szCs w:val="34"/>
        </w:rPr>
        <w:t>4</w:t>
      </w:r>
      <w:r w:rsidR="001B4A9C">
        <w:rPr>
          <w:rFonts w:ascii="仿宋_GB2312" w:eastAsia="仿宋_GB2312" w:hAnsi="仿宋" w:cs="Times New Roman"/>
          <w:kern w:val="0"/>
          <w:sz w:val="34"/>
          <w:szCs w:val="34"/>
        </w:rPr>
        <w:t>.</w:t>
      </w:r>
      <w:r w:rsidR="001B4A9C">
        <w:rPr>
          <w:rFonts w:ascii="仿宋_GB2312" w:eastAsia="仿宋_GB2312" w:hAnsi="仿宋" w:cs="Times New Roman" w:hint="eastAsia"/>
          <w:kern w:val="0"/>
          <w:sz w:val="34"/>
          <w:szCs w:val="34"/>
        </w:rPr>
        <w:t>有关联性企业</w:t>
      </w:r>
      <w:r w:rsidR="004525A9">
        <w:rPr>
          <w:rFonts w:ascii="仿宋_GB2312" w:eastAsia="仿宋_GB2312" w:hAnsi="仿宋" w:cs="Times New Roman" w:hint="eastAsia"/>
          <w:kern w:val="0"/>
          <w:sz w:val="34"/>
          <w:szCs w:val="34"/>
        </w:rPr>
        <w:t>将</w:t>
      </w:r>
      <w:r w:rsidR="001B4A9C">
        <w:rPr>
          <w:rFonts w:ascii="仿宋_GB2312" w:eastAsia="仿宋_GB2312" w:hAnsi="仿宋" w:cs="Times New Roman" w:hint="eastAsia"/>
          <w:kern w:val="0"/>
          <w:sz w:val="34"/>
          <w:szCs w:val="34"/>
        </w:rPr>
        <w:t>取消投标资格，</w:t>
      </w:r>
      <w:bookmarkStart w:id="0" w:name="_GoBack"/>
      <w:bookmarkEnd w:id="0"/>
      <w:r w:rsidR="001B4A9C">
        <w:rPr>
          <w:rFonts w:ascii="仿宋_GB2312" w:eastAsia="仿宋_GB2312" w:hAnsi="仿宋" w:cs="Times New Roman" w:hint="eastAsia"/>
          <w:kern w:val="0"/>
          <w:sz w:val="34"/>
          <w:szCs w:val="34"/>
        </w:rPr>
        <w:t>评标方式按最低评标价法。</w:t>
      </w:r>
    </w:p>
    <w:p w:rsidR="00E3189D" w:rsidRPr="00873D25" w:rsidRDefault="000E30C0" w:rsidP="00E11FF8">
      <w:pPr>
        <w:widowControl/>
        <w:spacing w:line="315" w:lineRule="atLeast"/>
        <w:ind w:firstLine="480"/>
        <w:rPr>
          <w:rFonts w:ascii="仿宋_GB2312" w:eastAsia="仿宋_GB2312" w:hAnsi="仿宋" w:cs="Times New Roman"/>
          <w:kern w:val="0"/>
          <w:sz w:val="34"/>
          <w:szCs w:val="34"/>
        </w:rPr>
      </w:pPr>
      <w:r>
        <w:rPr>
          <w:rFonts w:ascii="仿宋_GB2312" w:eastAsia="仿宋_GB2312" w:hAnsi="仿宋" w:cs="Times New Roman"/>
          <w:kern w:val="0"/>
          <w:sz w:val="34"/>
          <w:szCs w:val="34"/>
        </w:rPr>
        <w:t>5</w:t>
      </w:r>
      <w:r w:rsidR="00E3189D"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>. 如有疑问请联系项目联系人：</w:t>
      </w:r>
      <w:r w:rsidR="004C111B">
        <w:rPr>
          <w:rFonts w:ascii="仿宋_GB2312" w:eastAsia="仿宋_GB2312" w:hAnsi="仿宋" w:cs="Times New Roman" w:hint="eastAsia"/>
          <w:kern w:val="0"/>
          <w:sz w:val="34"/>
          <w:szCs w:val="34"/>
        </w:rPr>
        <w:t>杨老师</w:t>
      </w:r>
      <w:r w:rsidR="00E3189D"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 xml:space="preserve">  电话：</w:t>
      </w:r>
      <w:r w:rsidR="00C414D7">
        <w:rPr>
          <w:rFonts w:ascii="仿宋_GB2312" w:eastAsia="仿宋_GB2312" w:hAnsi="仿宋" w:cs="Times New Roman"/>
          <w:kern w:val="0"/>
          <w:sz w:val="34"/>
          <w:szCs w:val="34"/>
        </w:rPr>
        <w:t>18605655537</w:t>
      </w:r>
    </w:p>
    <w:p w:rsidR="00E3189D" w:rsidRPr="00A7527F" w:rsidRDefault="00C414D7" w:rsidP="00E11FF8">
      <w:pPr>
        <w:widowControl/>
        <w:shd w:val="clear" w:color="auto" w:fill="FFFFFF"/>
        <w:ind w:right="340" w:firstLine="675"/>
        <w:jc w:val="right"/>
        <w:rPr>
          <w:rFonts w:ascii="仿宋_GB2312" w:eastAsia="仿宋_GB2312" w:hAnsi="微软雅黑" w:cs="宋体"/>
          <w:color w:val="333333"/>
          <w:kern w:val="0"/>
          <w:sz w:val="35"/>
          <w:szCs w:val="35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5"/>
          <w:szCs w:val="35"/>
        </w:rPr>
        <w:t>信息技术学院</w:t>
      </w:r>
    </w:p>
    <w:p w:rsidR="00E3189D" w:rsidRPr="00873D25" w:rsidRDefault="00E3189D" w:rsidP="00E3189D">
      <w:pPr>
        <w:widowControl/>
        <w:spacing w:line="315" w:lineRule="atLeast"/>
        <w:jc w:val="right"/>
        <w:rPr>
          <w:rFonts w:ascii="仿宋_GB2312" w:eastAsia="仿宋_GB2312" w:hAnsi="仿宋" w:cs="Times New Roman"/>
          <w:b/>
          <w:bCs/>
          <w:kern w:val="0"/>
          <w:sz w:val="34"/>
          <w:szCs w:val="34"/>
        </w:rPr>
      </w:pPr>
      <w:r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 xml:space="preserve">        </w:t>
      </w:r>
      <w:r>
        <w:rPr>
          <w:rFonts w:ascii="仿宋_GB2312" w:eastAsia="仿宋_GB2312" w:hAnsi="仿宋" w:cs="Times New Roman" w:hint="eastAsia"/>
          <w:kern w:val="0"/>
          <w:sz w:val="34"/>
          <w:szCs w:val="34"/>
        </w:rPr>
        <w:t xml:space="preserve">                               </w:t>
      </w:r>
      <w:r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>202</w:t>
      </w:r>
      <w:r w:rsidR="00C414D7">
        <w:rPr>
          <w:rFonts w:ascii="仿宋_GB2312" w:eastAsia="仿宋_GB2312" w:hAnsi="仿宋" w:cs="Times New Roman"/>
          <w:kern w:val="0"/>
          <w:sz w:val="34"/>
          <w:szCs w:val="34"/>
        </w:rPr>
        <w:t>5</w:t>
      </w:r>
      <w:r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>年</w:t>
      </w:r>
      <w:r w:rsidR="00C414D7">
        <w:rPr>
          <w:rFonts w:ascii="仿宋_GB2312" w:eastAsia="仿宋_GB2312" w:hAnsi="仿宋" w:cs="Times New Roman"/>
          <w:kern w:val="0"/>
          <w:sz w:val="34"/>
          <w:szCs w:val="34"/>
        </w:rPr>
        <w:t>5</w:t>
      </w:r>
      <w:r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>月</w:t>
      </w:r>
      <w:r w:rsidR="004525A9">
        <w:rPr>
          <w:rFonts w:ascii="仿宋_GB2312" w:eastAsia="仿宋_GB2312" w:hAnsi="仿宋" w:cs="Times New Roman"/>
          <w:kern w:val="0"/>
          <w:sz w:val="34"/>
          <w:szCs w:val="34"/>
        </w:rPr>
        <w:t>15</w:t>
      </w:r>
      <w:r w:rsidRPr="00873D25">
        <w:rPr>
          <w:rFonts w:ascii="仿宋_GB2312" w:eastAsia="仿宋_GB2312" w:hAnsi="仿宋" w:cs="Times New Roman" w:hint="eastAsia"/>
          <w:kern w:val="0"/>
          <w:sz w:val="34"/>
          <w:szCs w:val="34"/>
        </w:rPr>
        <w:t>日</w:t>
      </w:r>
    </w:p>
    <w:p w:rsidR="00E3189D" w:rsidRPr="00873D25" w:rsidRDefault="00E3189D" w:rsidP="00E3189D">
      <w:pPr>
        <w:widowControl/>
        <w:spacing w:line="315" w:lineRule="atLeast"/>
        <w:jc w:val="right"/>
        <w:rPr>
          <w:rFonts w:ascii="仿宋_GB2312" w:eastAsia="仿宋_GB2312" w:hAnsi="仿宋" w:cs="Times New Roman"/>
          <w:b/>
          <w:bCs/>
          <w:kern w:val="0"/>
          <w:sz w:val="34"/>
          <w:szCs w:val="34"/>
        </w:rPr>
      </w:pPr>
    </w:p>
    <w:p w:rsidR="00E3189D" w:rsidRPr="00873D25" w:rsidRDefault="00E3189D" w:rsidP="00E3189D">
      <w:pPr>
        <w:widowControl/>
        <w:spacing w:line="315" w:lineRule="atLeast"/>
        <w:rPr>
          <w:rFonts w:ascii="黑体" w:eastAsia="黑体" w:hAnsi="黑体" w:cs="Times New Roman"/>
          <w:bCs/>
          <w:kern w:val="0"/>
          <w:sz w:val="44"/>
          <w:szCs w:val="44"/>
        </w:rPr>
      </w:pPr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br w:type="page"/>
      </w:r>
      <w:r w:rsidRPr="00873D25">
        <w:rPr>
          <w:rFonts w:ascii="黑体" w:eastAsia="黑体" w:hAnsi="黑体" w:cs="Times New Roman" w:hint="eastAsia"/>
          <w:bCs/>
          <w:kern w:val="0"/>
          <w:sz w:val="44"/>
          <w:szCs w:val="44"/>
        </w:rPr>
        <w:lastRenderedPageBreak/>
        <w:t>三、供应商报价部分</w:t>
      </w:r>
    </w:p>
    <w:p w:rsidR="00E3189D" w:rsidRPr="00873D25" w:rsidRDefault="00E3189D" w:rsidP="00E3189D">
      <w:pPr>
        <w:widowControl/>
        <w:spacing w:line="315" w:lineRule="atLeast"/>
        <w:rPr>
          <w:rFonts w:ascii="楷体_GB2312" w:eastAsia="楷体_GB2312" w:hAnsi="仿宋" w:cs="Times New Roman"/>
          <w:b/>
          <w:bCs/>
          <w:kern w:val="0"/>
          <w:sz w:val="28"/>
          <w:szCs w:val="28"/>
        </w:rPr>
      </w:pPr>
      <w:r w:rsidRPr="00873D25">
        <w:rPr>
          <w:rFonts w:ascii="楷体_GB2312" w:eastAsia="楷体_GB2312" w:hAnsi="仿宋" w:cs="Times New Roman" w:hint="eastAsia"/>
          <w:b/>
          <w:bCs/>
          <w:kern w:val="0"/>
          <w:sz w:val="28"/>
          <w:szCs w:val="28"/>
        </w:rPr>
        <w:t>(一)营业执照（扫描件）</w:t>
      </w:r>
    </w:p>
    <w:p w:rsidR="00E3189D" w:rsidRPr="00873D25" w:rsidRDefault="00E3189D" w:rsidP="00E3189D">
      <w:pPr>
        <w:widowControl/>
        <w:spacing w:line="315" w:lineRule="atLeast"/>
        <w:rPr>
          <w:rFonts w:ascii="楷体_GB2312" w:eastAsia="楷体_GB2312" w:hAnsi="仿宋" w:cs="Times New Roman"/>
          <w:b/>
          <w:bCs/>
          <w:kern w:val="0"/>
          <w:sz w:val="28"/>
          <w:szCs w:val="28"/>
        </w:rPr>
      </w:pPr>
      <w:r w:rsidRPr="00873D25">
        <w:rPr>
          <w:rFonts w:ascii="楷体_GB2312" w:eastAsia="楷体_GB2312" w:hAnsi="仿宋" w:cs="Times New Roman" w:hint="eastAsia"/>
          <w:b/>
          <w:bCs/>
          <w:kern w:val="0"/>
          <w:sz w:val="28"/>
          <w:szCs w:val="28"/>
        </w:rPr>
        <w:t>(二)报价单</w:t>
      </w:r>
      <w:r w:rsidR="00570224">
        <w:rPr>
          <w:rFonts w:ascii="楷体_GB2312" w:eastAsia="楷体_GB2312" w:hAnsi="仿宋" w:cs="Times New Roman" w:hint="eastAsia"/>
          <w:b/>
          <w:bCs/>
          <w:kern w:val="0"/>
          <w:sz w:val="28"/>
          <w:szCs w:val="28"/>
        </w:rPr>
        <w:t>（盖章）</w:t>
      </w:r>
    </w:p>
    <w:tbl>
      <w:tblPr>
        <w:tblW w:w="20804" w:type="dxa"/>
        <w:tblLook w:val="04A0" w:firstRow="1" w:lastRow="0" w:firstColumn="1" w:lastColumn="0" w:noHBand="0" w:noVBand="1"/>
      </w:tblPr>
      <w:tblGrid>
        <w:gridCol w:w="717"/>
        <w:gridCol w:w="2226"/>
        <w:gridCol w:w="10065"/>
        <w:gridCol w:w="3402"/>
        <w:gridCol w:w="992"/>
        <w:gridCol w:w="850"/>
        <w:gridCol w:w="1134"/>
        <w:gridCol w:w="1418"/>
      </w:tblGrid>
      <w:tr w:rsidR="00E3189D" w:rsidRPr="002E3D18" w:rsidTr="001D0B82">
        <w:trPr>
          <w:trHeight w:val="936"/>
        </w:trPr>
        <w:tc>
          <w:tcPr>
            <w:tcW w:w="208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9D" w:rsidRPr="002E3D18" w:rsidRDefault="007E77B7" w:rsidP="001D0B8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  <w:r w:rsidRPr="007E77B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202</w:t>
            </w:r>
            <w:r w:rsidR="001D0B82"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5</w:t>
            </w:r>
            <w:r w:rsidRPr="007E77B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年安徽城市管理职业学院东附楼</w:t>
            </w:r>
            <w:r w:rsidR="001D0B82"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105、209噢易</w:t>
            </w:r>
            <w:r w:rsidR="001D0B82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云机房升级更换服务器询价</w:t>
            </w:r>
          </w:p>
        </w:tc>
      </w:tr>
      <w:tr w:rsidR="00E3189D" w:rsidRPr="002E3D18" w:rsidTr="001D0B82">
        <w:trPr>
          <w:trHeight w:val="645"/>
        </w:trPr>
        <w:tc>
          <w:tcPr>
            <w:tcW w:w="208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9D" w:rsidRPr="002E3D18" w:rsidRDefault="00E3189D" w:rsidP="005F39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</w:p>
        </w:tc>
      </w:tr>
      <w:tr w:rsidR="00E51C63" w:rsidRPr="002E3D18" w:rsidTr="001D0B82">
        <w:trPr>
          <w:trHeight w:val="4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63" w:rsidRPr="002E3D18" w:rsidRDefault="00E51C63" w:rsidP="005F39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3D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63" w:rsidRPr="002E3D18" w:rsidRDefault="00E51C63" w:rsidP="005F39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3D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C63" w:rsidRPr="002E3D18" w:rsidRDefault="00E51C63" w:rsidP="005F39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技术参数及要求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3" w:rsidRPr="002E3D18" w:rsidRDefault="00E51C63" w:rsidP="005F39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3" w:rsidRPr="002E3D18" w:rsidRDefault="00E51C63" w:rsidP="00775D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3D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3" w:rsidRPr="002E3D18" w:rsidRDefault="00E51C63" w:rsidP="00775D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3D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3" w:rsidRPr="002E3D18" w:rsidRDefault="00E51C63" w:rsidP="00775D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3D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3" w:rsidRPr="002E3D18" w:rsidRDefault="00E51C63" w:rsidP="00775D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总价（元）</w:t>
            </w:r>
          </w:p>
        </w:tc>
      </w:tr>
      <w:tr w:rsidR="001D0B82" w:rsidRPr="002E3D18" w:rsidTr="001D0B82">
        <w:trPr>
          <w:trHeight w:val="18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82" w:rsidRPr="008F1F95" w:rsidRDefault="001D0B82" w:rsidP="001D0B8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4"/>
                <w:szCs w:val="34"/>
              </w:rPr>
            </w:pPr>
            <w:r w:rsidRPr="008F1F95">
              <w:rPr>
                <w:rFonts w:ascii="仿宋_GB2312" w:eastAsia="仿宋_GB2312" w:hAnsi="仿宋" w:cs="宋体" w:hint="eastAsia"/>
                <w:color w:val="000000"/>
                <w:kern w:val="0"/>
                <w:sz w:val="34"/>
                <w:szCs w:val="34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B82" w:rsidRPr="008F1F95" w:rsidRDefault="001D0B82" w:rsidP="001D0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计算节点云服务器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B82" w:rsidRPr="007E77B7" w:rsidRDefault="001D0B82" w:rsidP="001D0B8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7E77B7" w:rsidRDefault="001D0B82" w:rsidP="001D0B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7E77B7" w:rsidRDefault="001D0B82" w:rsidP="001D0B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7E77B7" w:rsidRDefault="001D0B82" w:rsidP="001D0B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7E77B7" w:rsidRDefault="001D0B82" w:rsidP="001D0B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7E77B7" w:rsidRDefault="001D0B82" w:rsidP="001D0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D0B82" w:rsidRPr="002E3D18" w:rsidTr="001D0B82">
        <w:trPr>
          <w:trHeight w:val="14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8F1F95" w:rsidRDefault="001D0B82" w:rsidP="001D0B8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4"/>
                <w:szCs w:val="34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384EFF" w:rsidRDefault="001D0B82" w:rsidP="001D0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4"/>
                <w:szCs w:val="34"/>
              </w:rPr>
            </w:pPr>
            <w:r w:rsidRPr="00384EFF">
              <w:rPr>
                <w:rFonts w:ascii="仿宋_GB2312" w:eastAsia="仿宋_GB2312" w:hAnsi="宋体" w:cs="宋体" w:hint="eastAsia"/>
                <w:color w:val="000000"/>
                <w:kern w:val="0"/>
                <w:sz w:val="34"/>
                <w:szCs w:val="34"/>
              </w:rPr>
              <w:t>数据迁移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B82" w:rsidRPr="007E77B7" w:rsidRDefault="001D0B82" w:rsidP="001D0B8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7E77B7" w:rsidRDefault="001D0B82" w:rsidP="001D0B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7E77B7" w:rsidRDefault="001D0B82" w:rsidP="001D0B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7E77B7" w:rsidRDefault="001D0B82" w:rsidP="001D0B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7E77B7" w:rsidRDefault="001D0B82" w:rsidP="001D0B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82" w:rsidRPr="007E77B7" w:rsidRDefault="001D0B82" w:rsidP="001D0B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51C63" w:rsidRPr="002E3D18" w:rsidTr="001D0B82">
        <w:trPr>
          <w:trHeight w:val="98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63" w:rsidRPr="007E77B7" w:rsidRDefault="00E51C63" w:rsidP="005F39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77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3" w:rsidRPr="007E77B7" w:rsidRDefault="00E51C63" w:rsidP="005F39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77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总报价</w:t>
            </w:r>
          </w:p>
        </w:tc>
        <w:tc>
          <w:tcPr>
            <w:tcW w:w="17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3" w:rsidRPr="007E77B7" w:rsidRDefault="00E51C63" w:rsidP="005F3912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77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大写金额：</w:t>
            </w:r>
          </w:p>
          <w:p w:rsidR="00E51C63" w:rsidRPr="007E77B7" w:rsidRDefault="00E51C63" w:rsidP="005F3912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77B7">
              <w:rPr>
                <w:rFonts w:ascii="宋体" w:eastAsia="宋体" w:hAnsi="宋体" w:cs="宋体"/>
                <w:color w:val="000000"/>
                <w:kern w:val="0"/>
                <w:szCs w:val="21"/>
              </w:rPr>
              <w:t>小写金额：</w:t>
            </w:r>
          </w:p>
        </w:tc>
      </w:tr>
      <w:tr w:rsidR="004525A9" w:rsidRPr="002E3D18" w:rsidTr="001D0B82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A9" w:rsidRPr="002E3D18" w:rsidRDefault="004525A9" w:rsidP="00452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A9" w:rsidRDefault="004525A9" w:rsidP="004525A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:rsidR="004525A9" w:rsidRDefault="004525A9" w:rsidP="004525A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:rsidR="004525A9" w:rsidRDefault="004525A9" w:rsidP="004525A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2．硬件设备免费质保期_____年(不低于一年)；</w:t>
            </w:r>
          </w:p>
          <w:p w:rsidR="004525A9" w:rsidRDefault="004525A9" w:rsidP="004525A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525A9" w:rsidRPr="004525A9" w:rsidRDefault="004525A9" w:rsidP="004525A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  <w:r w:rsidRPr="007824DB">
              <w:rPr>
                <w:rFonts w:ascii="仿宋" w:eastAsia="仿宋" w:hAnsi="仿宋" w:cs="Times New Roman" w:hint="eastAsia"/>
                <w:color w:val="FF0000"/>
                <w:kern w:val="0"/>
                <w:sz w:val="24"/>
                <w:szCs w:val="24"/>
                <w:highlight w:val="yellow"/>
              </w:rPr>
              <w:t>承诺本公司无其它关联企业参与</w:t>
            </w:r>
            <w:r>
              <w:rPr>
                <w:rFonts w:ascii="仿宋" w:eastAsia="仿宋" w:hAnsi="仿宋" w:cs="Times New Roman" w:hint="eastAsia"/>
                <w:color w:val="FF0000"/>
                <w:kern w:val="0"/>
                <w:sz w:val="24"/>
                <w:szCs w:val="24"/>
                <w:highlight w:val="yellow"/>
              </w:rPr>
              <w:t>，如违反此承诺，愿承担一切后果。</w:t>
            </w:r>
          </w:p>
        </w:tc>
      </w:tr>
      <w:tr w:rsidR="004525A9" w:rsidRPr="002E3D18" w:rsidTr="001D0B82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A9" w:rsidRPr="002E3D18" w:rsidRDefault="004525A9" w:rsidP="00452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A9" w:rsidRPr="002E3D18" w:rsidRDefault="004525A9" w:rsidP="004525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E3D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联系人：                 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2E3D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联系电话：            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2E3D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报价日期：     年     月    日</w:t>
            </w:r>
          </w:p>
        </w:tc>
      </w:tr>
      <w:tr w:rsidR="004525A9" w:rsidRPr="002E3D18" w:rsidTr="001D0B82">
        <w:trPr>
          <w:trHeight w:val="1169"/>
        </w:trPr>
        <w:tc>
          <w:tcPr>
            <w:tcW w:w="20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07" w:rsidRDefault="004525A9" w:rsidP="00103E07">
            <w:pPr>
              <w:widowControl/>
              <w:spacing w:line="460" w:lineRule="exact"/>
              <w:ind w:firstLineChars="550" w:firstLine="994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03E0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103E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 w:rsidR="00103E0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:rsidR="00103E07" w:rsidRDefault="00103E07" w:rsidP="00103E07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103E07" w:rsidRDefault="00103E07" w:rsidP="00103E07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2025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03E07" w:rsidRDefault="00103E07" w:rsidP="00103E07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525A9" w:rsidRPr="002E3D18" w:rsidRDefault="00103E07" w:rsidP="00103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联系人：         电话：</w:t>
            </w:r>
          </w:p>
        </w:tc>
      </w:tr>
    </w:tbl>
    <w:p w:rsidR="00E3189D" w:rsidRDefault="00E3189D" w:rsidP="00E3189D">
      <w:pPr>
        <w:rPr>
          <w:sz w:val="24"/>
          <w:szCs w:val="24"/>
        </w:rPr>
      </w:pPr>
    </w:p>
    <w:p w:rsidR="00E3189D" w:rsidRPr="00873D25" w:rsidRDefault="00E3189D" w:rsidP="00E3189D">
      <w:pPr>
        <w:rPr>
          <w:rFonts w:ascii="仿宋_GB2312" w:eastAsia="仿宋_GB2312"/>
          <w:sz w:val="34"/>
          <w:szCs w:val="34"/>
        </w:rPr>
      </w:pPr>
      <w:r w:rsidRPr="00873D25">
        <w:rPr>
          <w:rFonts w:ascii="仿宋_GB2312" w:eastAsia="仿宋_GB2312" w:hint="eastAsia"/>
          <w:sz w:val="34"/>
          <w:szCs w:val="34"/>
        </w:rPr>
        <w:lastRenderedPageBreak/>
        <w:t>说明：如有多页，每页均要加盖单位公章。</w:t>
      </w:r>
    </w:p>
    <w:p w:rsidR="00262F74" w:rsidRPr="00E3189D" w:rsidRDefault="00262F74"/>
    <w:sectPr w:rsidR="00262F74" w:rsidRPr="00E3189D" w:rsidSect="00384EFF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F3" w:rsidRDefault="00FF69F3" w:rsidP="00CC233D">
      <w:r>
        <w:separator/>
      </w:r>
    </w:p>
  </w:endnote>
  <w:endnote w:type="continuationSeparator" w:id="0">
    <w:p w:rsidR="00FF69F3" w:rsidRDefault="00FF69F3" w:rsidP="00CC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F3" w:rsidRDefault="00FF69F3" w:rsidP="00CC233D">
      <w:r>
        <w:separator/>
      </w:r>
    </w:p>
  </w:footnote>
  <w:footnote w:type="continuationSeparator" w:id="0">
    <w:p w:rsidR="00FF69F3" w:rsidRDefault="00FF69F3" w:rsidP="00CC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A7"/>
    <w:rsid w:val="0000319B"/>
    <w:rsid w:val="000211C0"/>
    <w:rsid w:val="000E1151"/>
    <w:rsid w:val="000E30C0"/>
    <w:rsid w:val="00103E07"/>
    <w:rsid w:val="00150E73"/>
    <w:rsid w:val="00197414"/>
    <w:rsid w:val="001B4A9C"/>
    <w:rsid w:val="001D0B82"/>
    <w:rsid w:val="001E7A09"/>
    <w:rsid w:val="002135C0"/>
    <w:rsid w:val="00262F74"/>
    <w:rsid w:val="002B73C3"/>
    <w:rsid w:val="0034308D"/>
    <w:rsid w:val="00384EFF"/>
    <w:rsid w:val="003D0D34"/>
    <w:rsid w:val="003F477E"/>
    <w:rsid w:val="004525A9"/>
    <w:rsid w:val="004B3EF4"/>
    <w:rsid w:val="004C111B"/>
    <w:rsid w:val="004E14B9"/>
    <w:rsid w:val="00521380"/>
    <w:rsid w:val="00570224"/>
    <w:rsid w:val="005F433D"/>
    <w:rsid w:val="005F6F31"/>
    <w:rsid w:val="00613253"/>
    <w:rsid w:val="00616082"/>
    <w:rsid w:val="00637C5E"/>
    <w:rsid w:val="00650C2F"/>
    <w:rsid w:val="006B6D49"/>
    <w:rsid w:val="006E7624"/>
    <w:rsid w:val="007519AE"/>
    <w:rsid w:val="007E77B7"/>
    <w:rsid w:val="00842A52"/>
    <w:rsid w:val="008B6DCC"/>
    <w:rsid w:val="00934162"/>
    <w:rsid w:val="0096691F"/>
    <w:rsid w:val="0097140A"/>
    <w:rsid w:val="009E1E06"/>
    <w:rsid w:val="009E71CF"/>
    <w:rsid w:val="00A27E3B"/>
    <w:rsid w:val="00A7527F"/>
    <w:rsid w:val="00AA0341"/>
    <w:rsid w:val="00AA141F"/>
    <w:rsid w:val="00B137EC"/>
    <w:rsid w:val="00B22BD0"/>
    <w:rsid w:val="00B63F53"/>
    <w:rsid w:val="00BA1E1E"/>
    <w:rsid w:val="00BE4919"/>
    <w:rsid w:val="00BE587B"/>
    <w:rsid w:val="00C414D7"/>
    <w:rsid w:val="00C50ED5"/>
    <w:rsid w:val="00C54C0D"/>
    <w:rsid w:val="00CC233D"/>
    <w:rsid w:val="00D46E27"/>
    <w:rsid w:val="00D72AD7"/>
    <w:rsid w:val="00DB0258"/>
    <w:rsid w:val="00E11FF8"/>
    <w:rsid w:val="00E3189D"/>
    <w:rsid w:val="00E4492A"/>
    <w:rsid w:val="00E51C63"/>
    <w:rsid w:val="00E65100"/>
    <w:rsid w:val="00EB142C"/>
    <w:rsid w:val="00EC7B4C"/>
    <w:rsid w:val="00EE1E1F"/>
    <w:rsid w:val="00F1433D"/>
    <w:rsid w:val="00F34CAB"/>
    <w:rsid w:val="00F56D1F"/>
    <w:rsid w:val="00F86A1A"/>
    <w:rsid w:val="00F871A7"/>
    <w:rsid w:val="00F871B7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AEA9C"/>
  <w15:docId w15:val="{305FAF41-8F78-4DF3-BE83-BB5C67EF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7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46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C2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23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2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233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D0B8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0B82"/>
    <w:rPr>
      <w:sz w:val="18"/>
      <w:szCs w:val="18"/>
    </w:rPr>
  </w:style>
  <w:style w:type="character" w:styleId="ab">
    <w:name w:val="Hyperlink"/>
    <w:basedOn w:val="a0"/>
    <w:uiPriority w:val="99"/>
    <w:unhideWhenUsed/>
    <w:qFormat/>
    <w:rsid w:val="00452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xzx@cu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zx@c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yang</cp:lastModifiedBy>
  <cp:revision>15</cp:revision>
  <cp:lastPrinted>2025-05-12T06:47:00Z</cp:lastPrinted>
  <dcterms:created xsi:type="dcterms:W3CDTF">2025-05-13T06:07:00Z</dcterms:created>
  <dcterms:modified xsi:type="dcterms:W3CDTF">2025-05-15T03:29:00Z</dcterms:modified>
</cp:coreProperties>
</file>