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年信息技术学院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安徽省提质培优项目职业教育精品在线开放课程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《轻松玩转PS》制作</w:t>
      </w:r>
      <w:r>
        <w:rPr>
          <w:rFonts w:hint="default" w:ascii="微软雅黑" w:hAnsi="微软雅黑" w:eastAsia="微软雅黑" w:cs="宋体"/>
          <w:b/>
          <w:bCs/>
          <w:kern w:val="0"/>
          <w:sz w:val="30"/>
          <w:szCs w:val="30"/>
          <w:lang w:val="zh-TW" w:eastAsia="zh-TW"/>
        </w:rPr>
        <w:t>服务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资源包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采购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需求</w:t>
      </w:r>
    </w:p>
    <w:p>
      <w:pPr>
        <w:widowControl/>
        <w:spacing w:line="315" w:lineRule="atLeas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一、采购需求</w:t>
      </w:r>
    </w:p>
    <w:p>
      <w:pPr>
        <w:widowControl/>
        <w:spacing w:line="315" w:lineRule="atLeast"/>
        <w:ind w:firstLine="480"/>
        <w:rPr>
          <w:sz w:val="28"/>
          <w:szCs w:val="28"/>
        </w:rPr>
      </w:pPr>
      <w:r>
        <w:rPr>
          <w:rFonts w:hint="default" w:ascii="仿宋" w:hAnsi="仿宋" w:eastAsia="仿宋" w:cs="Times New Roman"/>
          <w:kern w:val="0"/>
          <w:sz w:val="28"/>
          <w:szCs w:val="28"/>
          <w:lang w:val="zh-TW" w:eastAsia="zh-TW"/>
        </w:rPr>
        <w:t>服务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资源包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清单如下，该项目预算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万元，内容如有疑问请联系项目联系人确认，供应商报价不得高于预算价。</w:t>
      </w:r>
    </w:p>
    <w:tbl>
      <w:tblPr>
        <w:tblStyle w:val="3"/>
        <w:tblpPr w:leftFromText="180" w:rightFromText="180" w:vertAnchor="text" w:horzAnchor="page" w:tblpX="1575" w:tblpY="292"/>
        <w:tblOverlap w:val="never"/>
        <w:tblW w:w="905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8"/>
        <w:gridCol w:w="1470"/>
        <w:gridCol w:w="654"/>
        <w:gridCol w:w="62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服务/货物名称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数量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服务要求或货物品牌及主要参数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2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课程宣传片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一、内容要求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课程宣传片视频内容应重点介绍该专业的基本情况，包括人才培养方向、相关课程、实训目的和环境以及内容注意事项等，实现对该专业的真实反映，激发学生参与学习的愿望。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二、视频要求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视频时长控制在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3至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5分钟。画面清晰、图像稳定，声音与画面同步且无杂音。如有解说应采用标准普通话配音。分辨率：1920*1080 25P或以上；编码为：H.264，H.264/AVC High Profile Level 4.2或以上；封装格式为：MP4；码流为：不小于5Mbps。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三、音频和字幕要求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音频格式为：混合立体声；编码为：AAC、MP3；码流为：不低于128kbps，采样率48000Hz。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可提供SRT字幕文件，也可将字幕直接压制在介质上。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视频类资源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40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1.视频编码方式：视频压缩采用H.264编码方式，封装格式采用MP4；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2.视频分辨率: 提交的高清成片，分辨率不低于1920x1080像素；单个视频文件大小不超过1GB，如高清视频文件过大，分辨率也不低于1280*720像素的标清视频文件；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3.图像效果：图像清晰，亮度适中：不过亮，过暗，人物移动时无拖影、耀光现象，无其他图像质量问题；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.声音效果：声音和画面同步；声音无明显失真、无明显噪音、回声或其他杂音，无音量忽大忽小现象；伴音清晰、饱满、圆润，解说声与现场声无明显比例失调，解说声与背景音乐无明显比例失调；无其他声音质量问题；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5.视频时长：单个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视频时长控制在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Hans" w:bidi="zh-TW"/>
              </w:rPr>
              <w:t>5分钟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以内，总时长不少</w:t>
            </w:r>
            <w:r>
              <w:rPr>
                <w:rFonts w:hint="eastAsia" w:hAnsi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于400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分钟；</w:t>
            </w:r>
          </w:p>
          <w:p>
            <w:pPr>
              <w:pStyle w:val="6"/>
              <w:kinsoku/>
              <w:overflowPunct/>
              <w:topLinePunct w:val="0"/>
              <w:bidi w:val="0"/>
              <w:spacing w:line="360" w:lineRule="auto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6.核心要求：1+X职业技能应用类视频不少于5个，且满足相关1+X职业技能等级证书实训技能要求。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0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非视频资源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GB" w:eastAsia="zh-CN" w:bidi="zh-TW"/>
              </w:rPr>
              <w:t>1</w:t>
            </w: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GB" w:eastAsia="zh-CN" w:bidi="zh-TW"/>
              </w:rPr>
              <w:t>套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含课程介绍、课程公告、教学大纲、模块描述、课件、参考资料，1.文件制作所用的软件版本不低于Microsoft Office 2010或WPS2016；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2.采用PPT或PPTX格式，不要使用PPS格式。如果有内嵌音频、视频或动画，则应在相应目录单独提供一份未嵌入的文件。同时提供关于最佳播放效果的软件版本说明；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3.PPT整理着重体现课程建设背景、课程重难点、知识总结等内容，制定与PPT配套的教学大纲；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GB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4.PPT背景体现学校LOGO、校训、课程建设文化等内容</w:t>
            </w:r>
            <w:r>
              <w:rPr>
                <w:rFonts w:hint="default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GB" w:eastAsia="zh-CN" w:bidi="zh-TW"/>
              </w:rPr>
              <w:t>;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5.其余参考资料格式可以为jpg、png、psd、doc、txt以及excel等文本以及图像格式。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题库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1套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1套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题数不少于80道，须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含讨论、 测试、作业、考试等多种题型</w:t>
            </w: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课程拓展资源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9个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课程拓展资源需包含平面设计中PS应用课程颗粒资源、1+X职业技能证书类PS实训课程颗粒资源、视觉设计类PS应用课程颗粒资源。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17181E"/>
          <w:kern w:val="2"/>
          <w:sz w:val="22"/>
          <w:szCs w:val="22"/>
          <w:u w:val="none"/>
          <w:shd w:val="clear" w:color="auto" w:fill="auto"/>
          <w:lang w:val="en-US" w:eastAsia="zh-CN" w:bidi="zh-TW"/>
        </w:rPr>
      </w:pPr>
    </w:p>
    <w:p/>
    <w:p>
      <w:pPr>
        <w:widowControl/>
        <w:spacing w:line="315" w:lineRule="atLeast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二、综合说明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1.报价包含</w:t>
      </w:r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课程视频资源的拍摄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、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后期制作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、</w:t>
      </w:r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平台发布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等一切费用。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4"/>
          <w:szCs w:val="24"/>
          <w:lang w:val="en-US" w:eastAsia="zh-CN" w:bidi="ar-SA"/>
        </w:rPr>
        <w:t>3.供应商为该项目配备的实施人员须具有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Adobe Photoshop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证书</w:t>
      </w:r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并提供相关证明材料。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4.供应商须提供结合1+X职业技能等级证书的课程建设实施方案，且在在中标后1天内提供1+X职业技能等级证书中PS实训部分师资培训。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请各供应商于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4月23日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点前将报价单(盖章)，电子材料发送到邮箱：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instrText xml:space="preserve"> HYPERLINK "mailto:2003003@cua.edu.cn" </w:instrTex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2012014@cua.edu.cn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，为保障公平公正，报价单要求加密，供应商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月23日1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点前将解密密码发到邮箱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instrText xml:space="preserve"> HYPERLINK "mailto:2003003@cua.edu.cn" </w:instrTex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2012014@cua.edu.cn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，逾期视为自动放弃，校方统一时间解密。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6</w:t>
      </w:r>
      <w:r>
        <w:rPr>
          <w:rFonts w:ascii="仿宋" w:hAnsi="仿宋" w:eastAsia="仿宋" w:cs="Times New Roman"/>
          <w:kern w:val="0"/>
          <w:sz w:val="24"/>
          <w:szCs w:val="24"/>
        </w:rPr>
        <w:t>.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项目联系人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：王璐老师  电话：15755172916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right="120"/>
        <w:jc w:val="righ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安徽城市管理职业学院</w:t>
      </w:r>
    </w:p>
    <w:p>
      <w:pPr>
        <w:widowControl/>
        <w:ind w:right="120"/>
        <w:jc w:val="right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                                          202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年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月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日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三、供应商报价部分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(一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营业执照（扫描件）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(二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报价单</w:t>
      </w:r>
    </w:p>
    <w:tbl>
      <w:tblPr>
        <w:tblStyle w:val="3"/>
        <w:tblW w:w="893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服务/货物名称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本公司承诺：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2．硬件设备免费质保期_____年(不低于一年)；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其它承诺：</w:t>
            </w: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right="4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ODgwMjU4ZGQyZDY1NWU0MjBlYWRlZWY5NmY4ZjUifQ=="/>
  </w:docVars>
  <w:rsids>
    <w:rsidRoot w:val="12E25D80"/>
    <w:rsid w:val="12E25D80"/>
    <w:rsid w:val="194A1770"/>
    <w:rsid w:val="310241CF"/>
    <w:rsid w:val="696B1E57"/>
    <w:rsid w:val="755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ind w:firstLine="280"/>
    </w:pPr>
    <w:rPr>
      <w:rFonts w:ascii="宋体" w:hAnsi="宋体" w:eastAsia="宋体" w:cs="宋体"/>
      <w:color w:val="17181E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2023-04-19T05:34:00Z</dcterms:created>
  <dc:creator>吧咋黑</dc:creator>
  <cp:lastModifiedBy>吧咋黑</cp:lastModifiedBy>
  <dcterms:modified xsi:type="dcterms:W3CDTF">2023-04-20T04:34:10Z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60EEF1BBFA6842D7BDB5708B99403015_11</vt:lpwstr>
  </property>
</Properties>
</file>